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b/>
          <w:bCs/>
          <w:sz w:val="36"/>
          <w:szCs w:val="36"/>
        </w:rPr>
      </w:pPr>
      <w:r>
        <w:rPr>
          <w:rFonts w:hint="eastAsia"/>
          <w:b/>
          <w:bCs/>
          <w:sz w:val="36"/>
          <w:szCs w:val="36"/>
        </w:rPr>
        <w:t>中铁建（北京）物业管理有限公司</w:t>
      </w:r>
    </w:p>
    <w:p>
      <w:pPr>
        <w:spacing w:line="288" w:lineRule="auto"/>
        <w:jc w:val="center"/>
        <w:rPr>
          <w:b/>
          <w:bCs/>
          <w:sz w:val="36"/>
          <w:szCs w:val="36"/>
        </w:rPr>
      </w:pPr>
      <w:r>
        <w:rPr>
          <w:rFonts w:hint="eastAsia"/>
          <w:b/>
          <w:bCs/>
          <w:sz w:val="36"/>
          <w:szCs w:val="36"/>
        </w:rPr>
        <w:t>秩序维护理论知识和体能测试考核管理办法</w:t>
      </w:r>
    </w:p>
    <w:p>
      <w:pPr>
        <w:spacing w:line="288" w:lineRule="auto"/>
        <w:jc w:val="center"/>
        <w:rPr>
          <w:b/>
          <w:bCs/>
          <w:sz w:val="36"/>
          <w:szCs w:val="36"/>
        </w:rPr>
      </w:pPr>
      <w:r>
        <w:rPr>
          <w:rFonts w:hint="eastAsia" w:ascii="宋体" w:hAnsi="宋体" w:eastAsia="宋体" w:cs="宋体"/>
          <w:b/>
          <w:bCs/>
          <w:color w:val="000000"/>
          <w:kern w:val="0"/>
          <w:sz w:val="30"/>
          <w:szCs w:val="30"/>
        </w:rPr>
        <w:t>第一章 总  则</w:t>
      </w:r>
    </w:p>
    <w:p>
      <w:pPr>
        <w:numPr>
          <w:ilvl w:val="255"/>
          <w:numId w:val="0"/>
        </w:numPr>
        <w:spacing w:line="360" w:lineRule="auto"/>
        <w:rPr>
          <w:rFonts w:ascii="宋体" w:hAnsi="宋体" w:eastAsia="宋体" w:cs="宋体"/>
          <w:sz w:val="30"/>
          <w:szCs w:val="30"/>
        </w:rPr>
      </w:pPr>
      <w:r>
        <w:rPr>
          <w:rFonts w:hint="eastAsia" w:ascii="宋体" w:hAnsi="宋体" w:eastAsia="宋体" w:cs="宋体"/>
          <w:sz w:val="30"/>
          <w:szCs w:val="30"/>
        </w:rPr>
        <w:t xml:space="preserve">    </w:t>
      </w:r>
      <w:r>
        <w:rPr>
          <w:rFonts w:hint="eastAsia" w:ascii="宋体" w:hAnsi="宋体" w:eastAsia="宋体" w:cs="宋体"/>
          <w:b/>
          <w:bCs/>
          <w:color w:val="000000"/>
          <w:kern w:val="0"/>
          <w:sz w:val="30"/>
          <w:szCs w:val="30"/>
        </w:rPr>
        <w:t>第一条</w:t>
      </w:r>
      <w:r>
        <w:rPr>
          <w:rFonts w:hint="eastAsia" w:ascii="宋体" w:hAnsi="宋体" w:eastAsia="宋体" w:cs="宋体"/>
          <w:sz w:val="30"/>
          <w:szCs w:val="30"/>
        </w:rPr>
        <w:t>为了提高中铁建（北京）物业管理有限公司（以下简称“物业公司”）所属各单位秩序维护主要管理人员的管理水平和服务质量，提高秩序维护主要管理人员对所从事工作的理论知识水平，特制定《中铁建（北京）物业管理有限公司秩序维护理论知识和体能测试考核管理办法》</w:t>
      </w:r>
    </w:p>
    <w:p>
      <w:pPr>
        <w:widowControl/>
        <w:spacing w:line="360" w:lineRule="auto"/>
        <w:ind w:firstLine="2861" w:firstLineChars="950"/>
        <w:jc w:val="left"/>
        <w:rPr>
          <w:rFonts w:ascii="宋体" w:hAnsi="宋体" w:eastAsia="宋体" w:cs="宋体"/>
          <w:b/>
          <w:bCs/>
          <w:kern w:val="0"/>
          <w:sz w:val="30"/>
          <w:szCs w:val="30"/>
        </w:rPr>
      </w:pPr>
      <w:r>
        <w:rPr>
          <w:rFonts w:hint="eastAsia" w:ascii="宋体" w:hAnsi="宋体" w:eastAsia="宋体" w:cs="宋体"/>
          <w:b/>
          <w:bCs/>
          <w:color w:val="000000"/>
          <w:kern w:val="0"/>
          <w:sz w:val="30"/>
          <w:szCs w:val="30"/>
        </w:rPr>
        <w:t>第二章 考核对象</w:t>
      </w:r>
    </w:p>
    <w:p>
      <w:pPr>
        <w:numPr>
          <w:ilvl w:val="255"/>
          <w:numId w:val="0"/>
        </w:numPr>
        <w:spacing w:line="360" w:lineRule="auto"/>
        <w:ind w:left="640"/>
        <w:rPr>
          <w:rFonts w:ascii="宋体" w:hAnsi="宋体" w:eastAsia="宋体" w:cs="宋体"/>
          <w:sz w:val="30"/>
          <w:szCs w:val="30"/>
        </w:rPr>
      </w:pPr>
      <w:r>
        <w:rPr>
          <w:rFonts w:hint="eastAsia" w:ascii="宋体" w:hAnsi="宋体" w:eastAsia="宋体" w:cs="宋体"/>
          <w:b/>
          <w:bCs/>
          <w:color w:val="000000"/>
          <w:kern w:val="0"/>
          <w:sz w:val="30"/>
          <w:szCs w:val="30"/>
        </w:rPr>
        <w:t>第二条</w:t>
      </w:r>
      <w:r>
        <w:rPr>
          <w:rFonts w:hint="eastAsia" w:ascii="宋体" w:hAnsi="宋体" w:eastAsia="宋体" w:cs="宋体"/>
          <w:color w:val="000000"/>
          <w:kern w:val="0"/>
          <w:sz w:val="30"/>
          <w:szCs w:val="30"/>
        </w:rPr>
        <w:t>物业公司所属各单位秩序维护部秩序维护主管及助理（以下简称被考核人）。</w:t>
      </w:r>
    </w:p>
    <w:p>
      <w:pPr>
        <w:widowControl/>
        <w:spacing w:line="360" w:lineRule="auto"/>
        <w:ind w:firstLine="2409" w:firstLineChars="800"/>
        <w:jc w:val="both"/>
        <w:rPr>
          <w:rFonts w:ascii="宋体" w:hAnsi="宋体" w:eastAsia="宋体" w:cs="宋体"/>
          <w:b/>
          <w:bCs/>
          <w:color w:val="000000"/>
          <w:kern w:val="0"/>
          <w:sz w:val="30"/>
          <w:szCs w:val="30"/>
        </w:rPr>
      </w:pPr>
      <w:r>
        <w:rPr>
          <w:rFonts w:hint="eastAsia" w:ascii="宋体" w:hAnsi="宋体" w:eastAsia="宋体" w:cs="宋体"/>
          <w:b/>
          <w:bCs/>
          <w:color w:val="000000"/>
          <w:kern w:val="0"/>
          <w:sz w:val="30"/>
          <w:szCs w:val="30"/>
        </w:rPr>
        <w:t xml:space="preserve"> 第三章 考试内容和方式</w:t>
      </w:r>
    </w:p>
    <w:p>
      <w:pPr>
        <w:widowControl/>
        <w:spacing w:line="360" w:lineRule="auto"/>
        <w:ind w:firstLine="602" w:firstLineChars="200"/>
        <w:jc w:val="left"/>
        <w:rPr>
          <w:rFonts w:ascii="宋体" w:hAnsi="宋体" w:eastAsia="宋体" w:cs="宋体"/>
          <w:b/>
          <w:bCs/>
          <w:color w:val="000000"/>
          <w:kern w:val="0"/>
          <w:sz w:val="30"/>
          <w:szCs w:val="30"/>
        </w:rPr>
      </w:pPr>
      <w:r>
        <w:rPr>
          <w:rFonts w:hint="eastAsia" w:ascii="宋体" w:hAnsi="宋体" w:eastAsia="宋体" w:cs="宋体"/>
          <w:b/>
          <w:bCs/>
          <w:color w:val="000000"/>
          <w:kern w:val="0"/>
          <w:sz w:val="30"/>
          <w:szCs w:val="30"/>
        </w:rPr>
        <w:t>第三条 考试内容主要包括</w:t>
      </w:r>
    </w:p>
    <w:p>
      <w:pPr>
        <w:widowControl/>
        <w:numPr>
          <w:ilvl w:val="255"/>
          <w:numId w:val="0"/>
        </w:numPr>
        <w:spacing w:line="360" w:lineRule="auto"/>
        <w:ind w:firstLine="600" w:firstLineChars="200"/>
        <w:jc w:val="left"/>
        <w:rPr>
          <w:rFonts w:ascii="宋体" w:hAnsi="宋体" w:eastAsia="宋体" w:cs="宋体"/>
          <w:color w:val="000000"/>
          <w:kern w:val="0"/>
          <w:sz w:val="30"/>
          <w:szCs w:val="30"/>
        </w:rPr>
      </w:pPr>
      <w:r>
        <w:rPr>
          <w:rFonts w:hint="eastAsia" w:ascii="宋体" w:hAnsi="宋体" w:eastAsia="宋体" w:cs="宋体"/>
          <w:color w:val="000000"/>
          <w:kern w:val="0"/>
          <w:sz w:val="30"/>
          <w:szCs w:val="30"/>
        </w:rPr>
        <w:t>（一）《中铁建（北京）物业管理有限公司国家、各部委规范性文件（上、下册）》（注：因国家及各部委政策变化将不时修改并补充）；</w:t>
      </w:r>
    </w:p>
    <w:p>
      <w:pPr>
        <w:widowControl/>
        <w:numPr>
          <w:ilvl w:val="255"/>
          <w:numId w:val="0"/>
        </w:numPr>
        <w:spacing w:line="360" w:lineRule="auto"/>
        <w:ind w:firstLine="600" w:firstLineChars="200"/>
        <w:jc w:val="left"/>
        <w:rPr>
          <w:rFonts w:ascii="宋体" w:hAnsi="宋体" w:eastAsia="宋体" w:cs="宋体"/>
          <w:color w:val="000000"/>
          <w:kern w:val="0"/>
          <w:sz w:val="30"/>
          <w:szCs w:val="30"/>
        </w:rPr>
      </w:pPr>
      <w:r>
        <w:rPr>
          <w:rFonts w:hint="eastAsia" w:ascii="宋体" w:hAnsi="宋体" w:eastAsia="宋体" w:cs="宋体"/>
          <w:color w:val="000000"/>
          <w:kern w:val="0"/>
          <w:sz w:val="30"/>
          <w:szCs w:val="30"/>
        </w:rPr>
        <w:t>（二）中铁建（北京）物业管理有限公司秩序维护部管理制度（包括但不限于：秩序维护规章制度及工作流程指引、秩序维护部基础培训手册、秩序维护部行为规范准则、秩序维护部标准化上墙制度、秩序维护部服装使用体系说明、秩序维护部内页表格模板、秩序维护部规范考核标准、秩序维护部服装管理办法、秩序维护部对分公司绩效考评细则、秩序维护外委承包分册管理规定）；</w:t>
      </w:r>
    </w:p>
    <w:p>
      <w:pPr>
        <w:widowControl/>
        <w:numPr>
          <w:ilvl w:val="255"/>
          <w:numId w:val="0"/>
        </w:numPr>
        <w:spacing w:line="360" w:lineRule="auto"/>
        <w:ind w:firstLine="600" w:firstLineChars="200"/>
        <w:jc w:val="left"/>
        <w:rPr>
          <w:rFonts w:ascii="宋体" w:hAnsi="宋体" w:eastAsia="宋体" w:cs="宋体"/>
          <w:color w:val="000000"/>
          <w:kern w:val="0"/>
          <w:sz w:val="30"/>
          <w:szCs w:val="30"/>
        </w:rPr>
      </w:pPr>
      <w:r>
        <w:rPr>
          <w:rFonts w:hint="eastAsia" w:ascii="宋体" w:hAnsi="宋体" w:eastAsia="宋体" w:cs="宋体"/>
          <w:color w:val="000000"/>
          <w:kern w:val="0"/>
          <w:sz w:val="30"/>
          <w:szCs w:val="30"/>
        </w:rPr>
        <w:t>（三）《高级保安员职业资格培训教材》；</w:t>
      </w:r>
    </w:p>
    <w:p>
      <w:pPr>
        <w:widowControl/>
        <w:numPr>
          <w:ilvl w:val="255"/>
          <w:numId w:val="0"/>
        </w:numPr>
        <w:spacing w:line="360" w:lineRule="auto"/>
        <w:ind w:firstLine="600" w:firstLineChars="200"/>
        <w:jc w:val="left"/>
        <w:rPr>
          <w:rFonts w:ascii="宋体" w:hAnsi="宋体" w:eastAsia="宋体" w:cs="宋体"/>
          <w:color w:val="000000"/>
          <w:kern w:val="0"/>
          <w:sz w:val="30"/>
          <w:szCs w:val="30"/>
        </w:rPr>
      </w:pPr>
      <w:r>
        <w:rPr>
          <w:rFonts w:hint="eastAsia" w:ascii="宋体" w:hAnsi="宋体" w:eastAsia="宋体" w:cs="宋体"/>
          <w:color w:val="000000"/>
          <w:kern w:val="0"/>
          <w:sz w:val="30"/>
          <w:szCs w:val="30"/>
        </w:rPr>
        <w:t>（四）体能考核及消防技能；</w:t>
      </w:r>
    </w:p>
    <w:p>
      <w:pPr>
        <w:widowControl/>
        <w:numPr>
          <w:ilvl w:val="255"/>
          <w:numId w:val="0"/>
        </w:numPr>
        <w:spacing w:line="360" w:lineRule="auto"/>
        <w:ind w:firstLine="602" w:firstLineChars="200"/>
        <w:jc w:val="left"/>
        <w:rPr>
          <w:rFonts w:ascii="宋体" w:hAnsi="宋体" w:eastAsia="宋体" w:cs="宋体"/>
          <w:b/>
          <w:bCs/>
          <w:color w:val="000000"/>
          <w:kern w:val="0"/>
          <w:sz w:val="30"/>
          <w:szCs w:val="30"/>
        </w:rPr>
      </w:pPr>
      <w:r>
        <w:rPr>
          <w:rFonts w:hint="eastAsia" w:ascii="宋体" w:hAnsi="宋体" w:eastAsia="宋体" w:cs="宋体"/>
          <w:b/>
          <w:bCs/>
          <w:color w:val="000000"/>
          <w:kern w:val="0"/>
          <w:sz w:val="30"/>
          <w:szCs w:val="30"/>
        </w:rPr>
        <w:t>第四条 考试方式</w:t>
      </w:r>
    </w:p>
    <w:p>
      <w:pPr>
        <w:widowControl/>
        <w:spacing w:line="360" w:lineRule="auto"/>
        <w:ind w:firstLine="600" w:firstLineChars="200"/>
        <w:jc w:val="left"/>
        <w:rPr>
          <w:rFonts w:ascii="宋体" w:hAnsi="宋体" w:eastAsia="宋体" w:cs="宋体"/>
          <w:sz w:val="30"/>
          <w:szCs w:val="30"/>
        </w:rPr>
      </w:pPr>
      <w:r>
        <w:rPr>
          <w:rFonts w:hint="eastAsia" w:ascii="宋体" w:hAnsi="宋体" w:eastAsia="宋体" w:cs="宋体"/>
          <w:color w:val="000000"/>
          <w:kern w:val="0"/>
          <w:sz w:val="30"/>
          <w:szCs w:val="30"/>
        </w:rPr>
        <w:t>（一）物业公司</w:t>
      </w:r>
      <w:r>
        <w:rPr>
          <w:rFonts w:hint="eastAsia" w:ascii="宋体" w:hAnsi="宋体" w:eastAsia="宋体" w:cs="宋体"/>
          <w:sz w:val="30"/>
          <w:szCs w:val="30"/>
        </w:rPr>
        <w:t>对所属各单位秩序维护主管及助理的理论和知识水平考试每年进行一次，理论考试分A、B、C三套试题随机抽取。每套试卷选择题占比90%，简答题占比10%；其中部门规章制度试题占比60%，</w:t>
      </w:r>
      <w:r>
        <w:rPr>
          <w:rFonts w:hint="eastAsia" w:ascii="宋体" w:hAnsi="宋体" w:eastAsia="宋体" w:cs="宋体"/>
          <w:color w:val="000000"/>
          <w:kern w:val="0"/>
          <w:sz w:val="30"/>
          <w:szCs w:val="30"/>
        </w:rPr>
        <w:t>《中铁建（北京）物业管理有限公司国家</w:t>
      </w:r>
      <w:r>
        <w:rPr>
          <w:rFonts w:hint="eastAsia" w:ascii="宋体" w:hAnsi="宋体" w:eastAsia="宋体" w:cs="宋体"/>
          <w:sz w:val="30"/>
          <w:szCs w:val="30"/>
        </w:rPr>
        <w:t>，</w:t>
      </w:r>
      <w:r>
        <w:rPr>
          <w:rFonts w:hint="eastAsia" w:ascii="宋体" w:hAnsi="宋体" w:eastAsia="宋体" w:cs="宋体"/>
          <w:color w:val="000000"/>
          <w:kern w:val="0"/>
          <w:sz w:val="30"/>
          <w:szCs w:val="30"/>
        </w:rPr>
        <w:t>各部委规范性文件（上、下册）</w:t>
      </w:r>
      <w:r>
        <w:rPr>
          <w:rFonts w:hint="eastAsia" w:ascii="宋体" w:hAnsi="宋体" w:eastAsia="宋体" w:cs="宋体"/>
          <w:sz w:val="30"/>
          <w:szCs w:val="30"/>
        </w:rPr>
        <w:t>》试题占比30%，</w:t>
      </w:r>
      <w:r>
        <w:rPr>
          <w:rFonts w:hint="eastAsia" w:ascii="宋体" w:hAnsi="宋体" w:eastAsia="宋体" w:cs="宋体"/>
          <w:color w:val="000000"/>
          <w:kern w:val="0"/>
          <w:sz w:val="30"/>
          <w:szCs w:val="30"/>
        </w:rPr>
        <w:t>高级保安员职业资格培训教材占比</w:t>
      </w:r>
      <w:r>
        <w:rPr>
          <w:rFonts w:hint="eastAsia" w:ascii="宋体" w:hAnsi="宋体" w:eastAsia="宋体" w:cs="宋体"/>
          <w:sz w:val="30"/>
          <w:szCs w:val="30"/>
        </w:rPr>
        <w:t>10%。</w:t>
      </w:r>
    </w:p>
    <w:p>
      <w:pPr>
        <w:widowControl/>
        <w:spacing w:line="360" w:lineRule="auto"/>
        <w:ind w:firstLine="600" w:firstLineChars="200"/>
        <w:jc w:val="left"/>
        <w:rPr>
          <w:rFonts w:ascii="宋体" w:hAnsi="宋体" w:eastAsia="宋体" w:cs="宋体"/>
          <w:color w:val="000000"/>
          <w:kern w:val="0"/>
          <w:sz w:val="30"/>
          <w:szCs w:val="30"/>
        </w:rPr>
      </w:pPr>
      <w:r>
        <w:rPr>
          <w:rFonts w:hint="eastAsia" w:ascii="宋体" w:hAnsi="宋体" w:eastAsia="宋体" w:cs="宋体"/>
          <w:color w:val="000000"/>
          <w:kern w:val="0"/>
          <w:sz w:val="30"/>
          <w:szCs w:val="30"/>
        </w:rPr>
        <w:t>（二）理论知识水平和技能考核由物业公司秩序维护部具体负责组织和实施，法律合规部协助。</w:t>
      </w:r>
    </w:p>
    <w:p>
      <w:pPr>
        <w:widowControl/>
        <w:numPr>
          <w:ilvl w:val="255"/>
          <w:numId w:val="0"/>
        </w:numPr>
        <w:spacing w:line="360" w:lineRule="auto"/>
        <w:ind w:firstLine="602" w:firstLineChars="200"/>
        <w:jc w:val="left"/>
        <w:rPr>
          <w:rFonts w:ascii="宋体" w:hAnsi="宋体" w:eastAsia="宋体" w:cs="宋体"/>
          <w:b/>
          <w:bCs/>
          <w:color w:val="000000"/>
          <w:kern w:val="0"/>
          <w:sz w:val="30"/>
          <w:szCs w:val="30"/>
        </w:rPr>
      </w:pPr>
      <w:r>
        <w:rPr>
          <w:rFonts w:hint="eastAsia" w:ascii="宋体" w:hAnsi="宋体" w:eastAsia="宋体" w:cs="宋体"/>
          <w:b/>
          <w:bCs/>
          <w:color w:val="000000"/>
          <w:kern w:val="0"/>
          <w:sz w:val="30"/>
          <w:szCs w:val="30"/>
        </w:rPr>
        <w:t>第四章体能测试和理论考试成绩综合评定及处理方式</w:t>
      </w:r>
    </w:p>
    <w:p>
      <w:pPr>
        <w:widowControl/>
        <w:spacing w:line="360" w:lineRule="auto"/>
        <w:ind w:firstLine="602" w:firstLineChars="200"/>
        <w:jc w:val="both"/>
        <w:rPr>
          <w:rFonts w:ascii="宋体" w:hAnsi="宋体" w:eastAsia="宋体" w:cs="宋体"/>
          <w:b/>
          <w:bCs/>
          <w:color w:val="000000"/>
          <w:kern w:val="0"/>
          <w:sz w:val="30"/>
          <w:szCs w:val="30"/>
        </w:rPr>
      </w:pPr>
      <w:r>
        <w:rPr>
          <w:rFonts w:hint="eastAsia" w:ascii="宋体" w:hAnsi="宋体" w:eastAsia="宋体" w:cs="宋体"/>
          <w:b/>
          <w:bCs/>
          <w:color w:val="000000"/>
          <w:kern w:val="0"/>
          <w:sz w:val="30"/>
          <w:szCs w:val="30"/>
        </w:rPr>
        <w:t>第五条体能及消防技能测试等级评定</w:t>
      </w:r>
    </w:p>
    <w:p>
      <w:pPr>
        <w:widowControl/>
        <w:spacing w:line="360" w:lineRule="auto"/>
        <w:ind w:firstLine="452" w:firstLineChars="150"/>
        <w:jc w:val="both"/>
        <w:rPr>
          <w:rFonts w:ascii="宋体" w:hAnsi="宋体" w:eastAsia="宋体" w:cs="宋体"/>
          <w:color w:val="000000"/>
          <w:kern w:val="0"/>
          <w:sz w:val="30"/>
          <w:szCs w:val="30"/>
        </w:rPr>
      </w:pPr>
      <w:r>
        <w:rPr>
          <w:rFonts w:hint="eastAsia" w:ascii="宋体" w:hAnsi="宋体" w:eastAsia="宋体" w:cs="宋体"/>
          <w:b/>
          <w:bCs/>
          <w:color w:val="000000"/>
          <w:kern w:val="0"/>
          <w:sz w:val="30"/>
          <w:szCs w:val="30"/>
        </w:rPr>
        <w:t>（一）</w:t>
      </w:r>
      <w:r>
        <w:rPr>
          <w:rFonts w:hint="eastAsia" w:ascii="宋体" w:hAnsi="宋体" w:eastAsia="宋体" w:cs="宋体"/>
          <w:color w:val="000000"/>
          <w:kern w:val="0"/>
          <w:sz w:val="30"/>
          <w:szCs w:val="30"/>
        </w:rPr>
        <w:t>根据物业公司</w:t>
      </w:r>
      <w:r>
        <w:rPr>
          <w:rFonts w:hint="eastAsia" w:ascii="宋体" w:hAnsi="宋体" w:eastAsia="宋体" w:cs="宋体"/>
          <w:sz w:val="30"/>
          <w:szCs w:val="30"/>
        </w:rPr>
        <w:t>对所属各单位秩序维护主管及助理的体能及消防技能考核</w:t>
      </w:r>
      <w:r>
        <w:rPr>
          <w:rFonts w:hint="eastAsia" w:ascii="宋体" w:hAnsi="宋体" w:eastAsia="宋体" w:cs="宋体"/>
          <w:color w:val="000000"/>
          <w:kern w:val="0"/>
          <w:sz w:val="30"/>
          <w:szCs w:val="30"/>
        </w:rPr>
        <w:t>结果，被考核人员的</w:t>
      </w:r>
      <w:r>
        <w:rPr>
          <w:rFonts w:hint="eastAsia" w:ascii="宋体" w:hAnsi="宋体" w:eastAsia="宋体" w:cs="宋体"/>
          <w:sz w:val="30"/>
          <w:szCs w:val="30"/>
        </w:rPr>
        <w:t>体能及消防技能</w:t>
      </w:r>
      <w:r>
        <w:rPr>
          <w:rFonts w:hint="eastAsia" w:ascii="宋体" w:hAnsi="宋体" w:eastAsia="宋体" w:cs="宋体"/>
          <w:color w:val="000000"/>
          <w:kern w:val="0"/>
          <w:sz w:val="30"/>
          <w:szCs w:val="30"/>
        </w:rPr>
        <w:t>考评结果分为达标、未达标两类：</w:t>
      </w:r>
    </w:p>
    <w:p>
      <w:pPr>
        <w:widowControl/>
        <w:spacing w:line="360" w:lineRule="auto"/>
        <w:ind w:firstLine="600" w:firstLineChars="200"/>
        <w:rPr>
          <w:rFonts w:ascii="宋体" w:hAnsi="宋体" w:eastAsia="宋体" w:cs="宋体"/>
          <w:color w:val="000000"/>
          <w:kern w:val="0"/>
          <w:sz w:val="30"/>
          <w:szCs w:val="30"/>
        </w:rPr>
      </w:pPr>
      <w:r>
        <w:rPr>
          <w:rFonts w:hint="eastAsia" w:ascii="宋体" w:hAnsi="宋体" w:eastAsia="宋体" w:cs="宋体"/>
          <w:color w:val="000000"/>
          <w:kern w:val="0"/>
          <w:sz w:val="30"/>
          <w:szCs w:val="30"/>
        </w:rPr>
        <w:t>1、体能及消防技能考评成绩按照年龄阶段划分，共计6项内容，每单项成绩为5分共计30分，每单项成绩达到附表中规定的标准评定为达标后得5分，没有完成附表中规定的标准被评为未达标得0分。</w:t>
      </w:r>
    </w:p>
    <w:p>
      <w:pPr>
        <w:widowControl/>
        <w:spacing w:line="360" w:lineRule="auto"/>
        <w:ind w:firstLine="600" w:firstLineChars="200"/>
        <w:rPr>
          <w:rFonts w:ascii="宋体" w:hAnsi="宋体" w:eastAsia="宋体" w:cs="宋体"/>
          <w:color w:val="000000"/>
          <w:kern w:val="0"/>
          <w:sz w:val="30"/>
          <w:szCs w:val="30"/>
        </w:rPr>
      </w:pPr>
      <w:r>
        <w:rPr>
          <w:rFonts w:hint="eastAsia" w:ascii="宋体" w:hAnsi="宋体" w:eastAsia="宋体" w:cs="宋体"/>
          <w:color w:val="000000"/>
          <w:kern w:val="0"/>
          <w:sz w:val="30"/>
          <w:szCs w:val="30"/>
        </w:rPr>
        <w:t>2、体能及消防技能测试综合评定共计6项内容，每单项5分共计30分，6项考核成绩中必须满足4项考核成绩达标，且体能及消防技能测试综合评定成绩得20分被评为达标，不满足20分的被评为未达标。</w:t>
      </w:r>
    </w:p>
    <w:tbl>
      <w:tblPr>
        <w:tblStyle w:val="4"/>
        <w:tblpPr w:leftFromText="180" w:rightFromText="180" w:vertAnchor="page" w:horzAnchor="page" w:tblpX="2280" w:tblpY="4164"/>
        <w:tblOverlap w:val="never"/>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34"/>
        <w:gridCol w:w="1134"/>
        <w:gridCol w:w="992"/>
        <w:gridCol w:w="1417"/>
        <w:gridCol w:w="1418"/>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rPr>
        <w:tc>
          <w:tcPr>
            <w:tcW w:w="1101" w:type="dxa"/>
          </w:tcPr>
          <w:p>
            <w:pPr>
              <w:widowControl/>
              <w:jc w:val="left"/>
            </w:pPr>
          </w:p>
          <w:p>
            <w:pPr>
              <w:widowControl/>
              <w:jc w:val="left"/>
            </w:pPr>
            <w:r>
              <w:rPr>
                <w:rFonts w:hint="eastAsia"/>
              </w:rPr>
              <w:t>考核项目</w:t>
            </w:r>
          </w:p>
          <w:p/>
        </w:tc>
        <w:tc>
          <w:tcPr>
            <w:tcW w:w="1134" w:type="dxa"/>
            <w:vAlign w:val="center"/>
          </w:tcPr>
          <w:p>
            <w:pPr>
              <w:jc w:val="center"/>
            </w:pPr>
            <w:r>
              <w:rPr>
                <w:rFonts w:hint="eastAsia"/>
              </w:rPr>
              <w:t>3000米</w:t>
            </w:r>
          </w:p>
        </w:tc>
        <w:tc>
          <w:tcPr>
            <w:tcW w:w="1134" w:type="dxa"/>
            <w:vAlign w:val="center"/>
          </w:tcPr>
          <w:p>
            <w:pPr>
              <w:jc w:val="center"/>
            </w:pPr>
            <w:r>
              <w:rPr>
                <w:rFonts w:hint="eastAsia"/>
              </w:rPr>
              <w:t>俯卧撑</w:t>
            </w:r>
          </w:p>
        </w:tc>
        <w:tc>
          <w:tcPr>
            <w:tcW w:w="992" w:type="dxa"/>
            <w:vAlign w:val="center"/>
          </w:tcPr>
          <w:p>
            <w:pPr>
              <w:jc w:val="center"/>
            </w:pPr>
            <w:r>
              <w:rPr>
                <w:rFonts w:hint="eastAsia"/>
              </w:rPr>
              <w:t>仰卧起坐</w:t>
            </w:r>
          </w:p>
        </w:tc>
        <w:tc>
          <w:tcPr>
            <w:tcW w:w="1417" w:type="dxa"/>
            <w:vAlign w:val="center"/>
          </w:tcPr>
          <w:p>
            <w:pPr>
              <w:jc w:val="center"/>
            </w:pPr>
            <w:r>
              <w:rPr>
                <w:rFonts w:hint="eastAsia"/>
              </w:rPr>
              <w:t>消防战斗服穿脱（原地）</w:t>
            </w:r>
          </w:p>
        </w:tc>
        <w:tc>
          <w:tcPr>
            <w:tcW w:w="1418" w:type="dxa"/>
            <w:vAlign w:val="center"/>
          </w:tcPr>
          <w:p>
            <w:pPr>
              <w:jc w:val="center"/>
            </w:pPr>
            <w:r>
              <w:rPr>
                <w:rFonts w:hint="eastAsia"/>
              </w:rPr>
              <w:t>一人两盘水袋连接</w:t>
            </w:r>
          </w:p>
        </w:tc>
        <w:tc>
          <w:tcPr>
            <w:tcW w:w="1134" w:type="dxa"/>
            <w:shd w:val="clear" w:color="auto" w:fill="auto"/>
          </w:tcPr>
          <w:p>
            <w:pPr>
              <w:jc w:val="center"/>
            </w:pPr>
          </w:p>
          <w:p>
            <w:pPr>
              <w:jc w:val="center"/>
            </w:pPr>
            <w:r>
              <w:rPr>
                <w:rFonts w:hint="eastAsia"/>
              </w:rPr>
              <w:t>一分钟跳绳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7" w:hRule="atLeast"/>
        </w:trPr>
        <w:tc>
          <w:tcPr>
            <w:tcW w:w="1101" w:type="dxa"/>
            <w:vAlign w:val="center"/>
          </w:tcPr>
          <w:p>
            <w:pPr>
              <w:jc w:val="center"/>
            </w:pPr>
            <w:r>
              <w:rPr>
                <w:rFonts w:hint="eastAsia"/>
              </w:rPr>
              <w:t>35岁（含）以下达标标准</w:t>
            </w:r>
          </w:p>
        </w:tc>
        <w:tc>
          <w:tcPr>
            <w:tcW w:w="1134" w:type="dxa"/>
            <w:vAlign w:val="center"/>
          </w:tcPr>
          <w:p>
            <w:pPr>
              <w:jc w:val="center"/>
            </w:pPr>
            <w:r>
              <w:rPr>
                <w:rFonts w:hint="eastAsia"/>
              </w:rPr>
              <w:t>14分50秒</w:t>
            </w:r>
          </w:p>
        </w:tc>
        <w:tc>
          <w:tcPr>
            <w:tcW w:w="1134" w:type="dxa"/>
            <w:vAlign w:val="center"/>
          </w:tcPr>
          <w:p>
            <w:pPr>
              <w:jc w:val="center"/>
            </w:pPr>
            <w:r>
              <w:rPr>
                <w:rFonts w:hint="eastAsia"/>
              </w:rPr>
              <w:t>35个/m</w:t>
            </w:r>
          </w:p>
        </w:tc>
        <w:tc>
          <w:tcPr>
            <w:tcW w:w="992" w:type="dxa"/>
            <w:vAlign w:val="center"/>
          </w:tcPr>
          <w:p>
            <w:pPr>
              <w:jc w:val="center"/>
            </w:pPr>
            <w:r>
              <w:rPr>
                <w:rFonts w:hint="eastAsia"/>
              </w:rPr>
              <w:t>40个/m</w:t>
            </w:r>
          </w:p>
        </w:tc>
        <w:tc>
          <w:tcPr>
            <w:tcW w:w="1417" w:type="dxa"/>
            <w:vAlign w:val="center"/>
          </w:tcPr>
          <w:p>
            <w:pPr>
              <w:jc w:val="center"/>
            </w:pPr>
            <w:r>
              <w:rPr>
                <w:rFonts w:hint="eastAsia"/>
              </w:rPr>
              <w:t>25秒</w:t>
            </w:r>
          </w:p>
        </w:tc>
        <w:tc>
          <w:tcPr>
            <w:tcW w:w="1418" w:type="dxa"/>
            <w:vAlign w:val="center"/>
          </w:tcPr>
          <w:p>
            <w:pPr>
              <w:jc w:val="center"/>
            </w:pPr>
            <w:r>
              <w:rPr>
                <w:rFonts w:hint="eastAsia"/>
              </w:rPr>
              <w:t>20秒</w:t>
            </w:r>
          </w:p>
        </w:tc>
        <w:tc>
          <w:tcPr>
            <w:tcW w:w="1134" w:type="dxa"/>
            <w:shd w:val="clear" w:color="auto" w:fill="auto"/>
          </w:tcPr>
          <w:p>
            <w:pPr>
              <w:widowControl/>
              <w:jc w:val="left"/>
            </w:pPr>
          </w:p>
          <w:p>
            <w:pPr>
              <w:widowControl/>
              <w:jc w:val="left"/>
            </w:pPr>
            <w:r>
              <w:rPr>
                <w:rFonts w:hint="eastAsia"/>
              </w:rPr>
              <w:t>90个/m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trPr>
        <w:tc>
          <w:tcPr>
            <w:tcW w:w="1101" w:type="dxa"/>
            <w:vAlign w:val="center"/>
          </w:tcPr>
          <w:p>
            <w:pPr>
              <w:jc w:val="center"/>
            </w:pPr>
            <w:r>
              <w:rPr>
                <w:rFonts w:hint="eastAsia"/>
              </w:rPr>
              <w:t>35岁以上达标标准</w:t>
            </w:r>
          </w:p>
        </w:tc>
        <w:tc>
          <w:tcPr>
            <w:tcW w:w="1134" w:type="dxa"/>
            <w:vAlign w:val="center"/>
          </w:tcPr>
          <w:p>
            <w:pPr>
              <w:jc w:val="center"/>
            </w:pPr>
            <w:r>
              <w:rPr>
                <w:rFonts w:hint="eastAsia"/>
              </w:rPr>
              <w:t>15分30秒</w:t>
            </w:r>
          </w:p>
        </w:tc>
        <w:tc>
          <w:tcPr>
            <w:tcW w:w="1134" w:type="dxa"/>
            <w:vAlign w:val="center"/>
          </w:tcPr>
          <w:p>
            <w:pPr>
              <w:jc w:val="center"/>
            </w:pPr>
            <w:r>
              <w:rPr>
                <w:rFonts w:hint="eastAsia"/>
              </w:rPr>
              <w:t>30个/m</w:t>
            </w:r>
          </w:p>
        </w:tc>
        <w:tc>
          <w:tcPr>
            <w:tcW w:w="992" w:type="dxa"/>
            <w:vAlign w:val="center"/>
          </w:tcPr>
          <w:p>
            <w:pPr>
              <w:jc w:val="center"/>
            </w:pPr>
            <w:r>
              <w:rPr>
                <w:rFonts w:hint="eastAsia"/>
              </w:rPr>
              <w:t>35个/m</w:t>
            </w:r>
          </w:p>
        </w:tc>
        <w:tc>
          <w:tcPr>
            <w:tcW w:w="1417" w:type="dxa"/>
            <w:vAlign w:val="center"/>
          </w:tcPr>
          <w:p>
            <w:pPr>
              <w:jc w:val="center"/>
            </w:pPr>
            <w:r>
              <w:rPr>
                <w:rFonts w:hint="eastAsia"/>
              </w:rPr>
              <w:t>30秒</w:t>
            </w:r>
          </w:p>
        </w:tc>
        <w:tc>
          <w:tcPr>
            <w:tcW w:w="1418" w:type="dxa"/>
            <w:vAlign w:val="center"/>
          </w:tcPr>
          <w:p>
            <w:pPr>
              <w:jc w:val="center"/>
            </w:pPr>
            <w:r>
              <w:rPr>
                <w:rFonts w:hint="eastAsia"/>
              </w:rPr>
              <w:t>25秒</w:t>
            </w:r>
          </w:p>
        </w:tc>
        <w:tc>
          <w:tcPr>
            <w:tcW w:w="1134" w:type="dxa"/>
            <w:shd w:val="clear" w:color="auto" w:fill="auto"/>
          </w:tcPr>
          <w:p>
            <w:pPr>
              <w:widowControl/>
              <w:jc w:val="left"/>
            </w:pPr>
          </w:p>
          <w:p>
            <w:pPr>
              <w:widowControl/>
              <w:jc w:val="left"/>
            </w:pPr>
            <w:r>
              <w:rPr>
                <w:rFonts w:hint="eastAsia"/>
              </w:rPr>
              <w:t>75个/m</w:t>
            </w:r>
          </w:p>
        </w:tc>
      </w:tr>
    </w:tbl>
    <w:p>
      <w:pPr>
        <w:widowControl/>
        <w:spacing w:line="360" w:lineRule="auto"/>
        <w:ind w:firstLine="0" w:firstLineChars="0"/>
        <w:rPr>
          <w:rFonts w:hint="eastAsia" w:ascii="宋体" w:hAnsi="宋体" w:eastAsia="宋体" w:cs="宋体"/>
          <w:b/>
          <w:bCs/>
          <w:color w:val="000000"/>
          <w:kern w:val="0"/>
          <w:sz w:val="30"/>
          <w:szCs w:val="30"/>
        </w:rPr>
      </w:pPr>
      <w:bookmarkStart w:id="0" w:name="_GoBack"/>
      <w:bookmarkEnd w:id="0"/>
    </w:p>
    <w:p>
      <w:pPr>
        <w:widowControl/>
        <w:spacing w:line="360" w:lineRule="auto"/>
        <w:ind w:firstLine="602" w:firstLineChars="200"/>
        <w:rPr>
          <w:rFonts w:ascii="宋体" w:hAnsi="宋体" w:eastAsia="宋体" w:cs="宋体"/>
          <w:b/>
          <w:bCs/>
          <w:color w:val="000000"/>
          <w:kern w:val="0"/>
          <w:sz w:val="30"/>
          <w:szCs w:val="30"/>
        </w:rPr>
      </w:pPr>
      <w:r>
        <w:rPr>
          <w:rFonts w:hint="eastAsia" w:ascii="宋体" w:hAnsi="宋体" w:eastAsia="宋体" w:cs="宋体"/>
          <w:b/>
          <w:bCs/>
          <w:color w:val="000000"/>
          <w:kern w:val="0"/>
          <w:sz w:val="30"/>
          <w:szCs w:val="30"/>
        </w:rPr>
        <w:t>第六条 理论和知识水平考试等级评定</w:t>
      </w:r>
    </w:p>
    <w:p>
      <w:pPr>
        <w:widowControl/>
        <w:spacing w:line="360" w:lineRule="auto"/>
        <w:ind w:firstLine="600" w:firstLineChars="200"/>
        <w:rPr>
          <w:rFonts w:ascii="宋体" w:hAnsi="宋体" w:eastAsia="宋体" w:cs="宋体"/>
          <w:b/>
          <w:bCs/>
          <w:color w:val="000000"/>
          <w:kern w:val="0"/>
          <w:sz w:val="30"/>
          <w:szCs w:val="30"/>
        </w:rPr>
      </w:pPr>
      <w:r>
        <w:rPr>
          <w:rFonts w:hint="eastAsia" w:ascii="宋体" w:hAnsi="宋体" w:eastAsia="宋体" w:cs="宋体"/>
          <w:color w:val="000000"/>
          <w:kern w:val="0"/>
          <w:sz w:val="30"/>
          <w:szCs w:val="30"/>
        </w:rPr>
        <w:t>根据物业公司</w:t>
      </w:r>
      <w:r>
        <w:rPr>
          <w:rFonts w:hint="eastAsia" w:ascii="宋体" w:hAnsi="宋体" w:eastAsia="宋体" w:cs="宋体"/>
          <w:sz w:val="30"/>
          <w:szCs w:val="30"/>
        </w:rPr>
        <w:t>对所属各单位秩序维护主管及助理的理论和知识水平考试</w:t>
      </w:r>
      <w:r>
        <w:rPr>
          <w:rFonts w:hint="eastAsia" w:ascii="宋体" w:hAnsi="宋体" w:eastAsia="宋体" w:cs="宋体"/>
          <w:color w:val="000000"/>
          <w:kern w:val="0"/>
          <w:sz w:val="30"/>
          <w:szCs w:val="30"/>
        </w:rPr>
        <w:t>的结果，被考核人员的理论和知识水平状况分被为先进、良好、达标、未达标四类：</w:t>
      </w:r>
    </w:p>
    <w:p>
      <w:pPr>
        <w:widowControl/>
        <w:spacing w:line="360" w:lineRule="auto"/>
        <w:ind w:firstLine="600" w:firstLineChars="200"/>
        <w:rPr>
          <w:rFonts w:ascii="宋体" w:hAnsi="宋体" w:eastAsia="宋体" w:cs="宋体"/>
          <w:color w:val="000000"/>
          <w:kern w:val="0"/>
          <w:sz w:val="30"/>
          <w:szCs w:val="30"/>
        </w:rPr>
      </w:pPr>
      <w:r>
        <w:rPr>
          <w:rFonts w:hint="eastAsia" w:ascii="宋体" w:hAnsi="宋体" w:eastAsia="宋体" w:cs="宋体"/>
          <w:color w:val="000000"/>
          <w:kern w:val="0"/>
          <w:sz w:val="30"/>
          <w:szCs w:val="30"/>
        </w:rPr>
        <w:t>1、理论考核成绩大于等于90分的被评为先进</w:t>
      </w:r>
    </w:p>
    <w:p>
      <w:pPr>
        <w:widowControl/>
        <w:spacing w:line="360" w:lineRule="auto"/>
        <w:ind w:firstLine="600" w:firstLineChars="200"/>
        <w:rPr>
          <w:rFonts w:ascii="宋体" w:hAnsi="宋体" w:eastAsia="宋体" w:cs="宋体"/>
          <w:color w:val="000000"/>
          <w:kern w:val="0"/>
          <w:sz w:val="30"/>
          <w:szCs w:val="30"/>
        </w:rPr>
      </w:pPr>
      <w:r>
        <w:rPr>
          <w:rFonts w:hint="eastAsia" w:ascii="宋体" w:hAnsi="宋体" w:eastAsia="宋体" w:cs="宋体"/>
          <w:color w:val="000000"/>
          <w:kern w:val="0"/>
          <w:sz w:val="30"/>
          <w:szCs w:val="30"/>
        </w:rPr>
        <w:t>2、理论考核成绩大于等于85分的被评为良好</w:t>
      </w:r>
    </w:p>
    <w:p>
      <w:pPr>
        <w:widowControl/>
        <w:spacing w:line="360" w:lineRule="auto"/>
        <w:ind w:firstLine="600" w:firstLineChars="200"/>
        <w:rPr>
          <w:rFonts w:ascii="宋体" w:hAnsi="宋体" w:eastAsia="宋体" w:cs="宋体"/>
          <w:color w:val="000000"/>
          <w:kern w:val="0"/>
          <w:sz w:val="30"/>
          <w:szCs w:val="30"/>
        </w:rPr>
      </w:pPr>
      <w:r>
        <w:rPr>
          <w:rFonts w:hint="eastAsia" w:ascii="宋体" w:hAnsi="宋体" w:eastAsia="宋体" w:cs="宋体"/>
          <w:color w:val="000000"/>
          <w:kern w:val="0"/>
          <w:sz w:val="30"/>
          <w:szCs w:val="30"/>
        </w:rPr>
        <w:t>3、理论考核成绩大于等于75分的被评为达标</w:t>
      </w:r>
    </w:p>
    <w:p>
      <w:pPr>
        <w:widowControl/>
        <w:spacing w:line="360" w:lineRule="auto"/>
        <w:ind w:firstLine="600" w:firstLineChars="200"/>
        <w:jc w:val="both"/>
        <w:rPr>
          <w:rFonts w:ascii="宋体" w:hAnsi="宋体" w:eastAsia="宋体" w:cs="宋体"/>
          <w:color w:val="000000"/>
          <w:kern w:val="0"/>
          <w:sz w:val="30"/>
          <w:szCs w:val="30"/>
        </w:rPr>
      </w:pPr>
      <w:r>
        <w:rPr>
          <w:rFonts w:hint="eastAsia" w:ascii="宋体" w:hAnsi="宋体" w:eastAsia="宋体" w:cs="宋体"/>
          <w:color w:val="000000"/>
          <w:kern w:val="0"/>
          <w:sz w:val="30"/>
          <w:szCs w:val="30"/>
        </w:rPr>
        <w:t>4、理论考核成绩小于75分的被评为未达标</w:t>
      </w:r>
    </w:p>
    <w:p>
      <w:pPr>
        <w:widowControl/>
        <w:spacing w:line="360" w:lineRule="auto"/>
        <w:ind w:firstLine="602" w:firstLineChars="200"/>
        <w:jc w:val="both"/>
        <w:rPr>
          <w:rFonts w:ascii="宋体" w:hAnsi="宋体" w:eastAsia="宋体" w:cs="宋体"/>
          <w:b/>
          <w:bCs/>
          <w:color w:val="000000"/>
          <w:kern w:val="0"/>
          <w:sz w:val="30"/>
          <w:szCs w:val="30"/>
        </w:rPr>
      </w:pPr>
      <w:r>
        <w:rPr>
          <w:rFonts w:hint="eastAsia" w:ascii="宋体" w:hAnsi="宋体" w:eastAsia="宋体" w:cs="宋体"/>
          <w:b/>
          <w:bCs/>
          <w:color w:val="000000"/>
          <w:kern w:val="0"/>
          <w:sz w:val="30"/>
          <w:szCs w:val="30"/>
        </w:rPr>
        <w:t>第七条 被考核人综合成绩评定</w:t>
      </w:r>
    </w:p>
    <w:p>
      <w:pPr>
        <w:widowControl/>
        <w:spacing w:line="360" w:lineRule="auto"/>
        <w:ind w:firstLine="600" w:firstLineChars="200"/>
        <w:jc w:val="both"/>
        <w:rPr>
          <w:rFonts w:ascii="宋体" w:hAnsi="宋体" w:eastAsia="宋体" w:cs="宋体"/>
          <w:color w:val="000000"/>
          <w:kern w:val="0"/>
          <w:sz w:val="30"/>
          <w:szCs w:val="30"/>
        </w:rPr>
      </w:pPr>
      <w:r>
        <w:rPr>
          <w:rFonts w:hint="eastAsia" w:ascii="宋体" w:hAnsi="宋体" w:eastAsia="宋体" w:cs="宋体"/>
          <w:color w:val="000000"/>
          <w:kern w:val="0"/>
          <w:sz w:val="30"/>
          <w:szCs w:val="30"/>
        </w:rPr>
        <w:t>1、被考核人体能及消防技能考评成绩执行一票否决权，体能及消防技能未达标的个人不再参与</w:t>
      </w:r>
      <w:r>
        <w:rPr>
          <w:rFonts w:hint="eastAsia" w:ascii="宋体" w:hAnsi="宋体" w:eastAsia="宋体" w:cs="宋体"/>
          <w:sz w:val="30"/>
          <w:szCs w:val="30"/>
        </w:rPr>
        <w:t>理论和知识水平的</w:t>
      </w:r>
      <w:r>
        <w:rPr>
          <w:rFonts w:hint="eastAsia" w:ascii="宋体" w:hAnsi="宋体" w:eastAsia="宋体" w:cs="宋体"/>
          <w:color w:val="000000"/>
          <w:kern w:val="0"/>
          <w:sz w:val="30"/>
          <w:szCs w:val="30"/>
        </w:rPr>
        <w:t>年度综合评定，本年度</w:t>
      </w:r>
      <w:r>
        <w:rPr>
          <w:rFonts w:hint="eastAsia" w:ascii="宋体" w:hAnsi="宋体" w:eastAsia="宋体" w:cs="宋体"/>
          <w:b w:val="0"/>
          <w:bCs w:val="0"/>
          <w:color w:val="000000"/>
          <w:kern w:val="0"/>
          <w:sz w:val="30"/>
          <w:szCs w:val="30"/>
        </w:rPr>
        <w:t>理论知识和体能</w:t>
      </w:r>
      <w:r>
        <w:rPr>
          <w:rFonts w:hint="eastAsia" w:ascii="宋体" w:hAnsi="宋体" w:eastAsia="宋体" w:cs="宋体"/>
          <w:color w:val="000000"/>
          <w:kern w:val="0"/>
          <w:sz w:val="30"/>
          <w:szCs w:val="30"/>
        </w:rPr>
        <w:t>综合</w:t>
      </w:r>
      <w:r>
        <w:rPr>
          <w:rFonts w:hint="eastAsia" w:ascii="宋体" w:hAnsi="宋体" w:eastAsia="宋体" w:cs="宋体"/>
          <w:b w:val="0"/>
          <w:bCs w:val="0"/>
          <w:color w:val="000000"/>
          <w:kern w:val="0"/>
          <w:sz w:val="30"/>
          <w:szCs w:val="30"/>
        </w:rPr>
        <w:t>测试</w:t>
      </w:r>
      <w:r>
        <w:rPr>
          <w:rFonts w:hint="eastAsia" w:ascii="宋体" w:hAnsi="宋体" w:eastAsia="宋体" w:cs="宋体"/>
          <w:color w:val="000000"/>
          <w:kern w:val="0"/>
          <w:sz w:val="30"/>
          <w:szCs w:val="30"/>
        </w:rPr>
        <w:t>成绩直接评定为未达标。</w:t>
      </w:r>
    </w:p>
    <w:p>
      <w:pPr>
        <w:widowControl/>
        <w:spacing w:line="360" w:lineRule="auto"/>
        <w:ind w:firstLine="600" w:firstLineChars="200"/>
        <w:jc w:val="both"/>
        <w:rPr>
          <w:rFonts w:ascii="宋体" w:hAnsi="宋体" w:eastAsia="宋体" w:cs="宋体"/>
          <w:b/>
          <w:bCs/>
          <w:color w:val="000000"/>
          <w:kern w:val="0"/>
          <w:sz w:val="30"/>
          <w:szCs w:val="30"/>
        </w:rPr>
      </w:pPr>
      <w:r>
        <w:rPr>
          <w:rFonts w:hint="eastAsia" w:ascii="宋体" w:hAnsi="宋体" w:eastAsia="宋体" w:cs="宋体"/>
          <w:color w:val="000000"/>
          <w:kern w:val="0"/>
          <w:sz w:val="30"/>
          <w:szCs w:val="30"/>
        </w:rPr>
        <w:t>2、被考核人年度体能及消防技能考评成绩只有被评定为达标后，根据理论考核成绩分类，本年度理论知识和体能综合测试成绩评定为先进、良好、达标、未达标四类。</w:t>
      </w:r>
    </w:p>
    <w:p>
      <w:pPr>
        <w:widowControl/>
        <w:spacing w:line="360" w:lineRule="auto"/>
        <w:ind w:firstLine="602" w:firstLineChars="200"/>
        <w:jc w:val="left"/>
        <w:rPr>
          <w:rFonts w:ascii="宋体" w:hAnsi="宋体" w:eastAsia="宋体" w:cs="宋体"/>
          <w:b/>
          <w:bCs/>
          <w:color w:val="000000"/>
          <w:kern w:val="0"/>
          <w:sz w:val="30"/>
          <w:szCs w:val="30"/>
        </w:rPr>
      </w:pPr>
      <w:r>
        <w:rPr>
          <w:rFonts w:hint="eastAsia" w:ascii="宋体" w:hAnsi="宋体" w:eastAsia="宋体" w:cs="宋体"/>
          <w:b/>
          <w:bCs/>
          <w:color w:val="000000"/>
          <w:kern w:val="0"/>
          <w:sz w:val="30"/>
          <w:szCs w:val="30"/>
        </w:rPr>
        <w:t>第八条考试不达标处理方式</w:t>
      </w:r>
    </w:p>
    <w:p>
      <w:pPr>
        <w:widowControl/>
        <w:spacing w:line="360" w:lineRule="auto"/>
        <w:ind w:firstLine="600" w:firstLineChars="200"/>
        <w:jc w:val="both"/>
        <w:rPr>
          <w:rFonts w:ascii="宋体" w:hAnsi="宋体" w:eastAsia="宋体" w:cs="宋体"/>
          <w:color w:val="000000"/>
          <w:kern w:val="0"/>
          <w:sz w:val="30"/>
          <w:szCs w:val="30"/>
        </w:rPr>
      </w:pPr>
      <w:r>
        <w:rPr>
          <w:rFonts w:hint="eastAsia" w:ascii="宋体" w:hAnsi="宋体" w:eastAsia="宋体" w:cs="宋体"/>
          <w:color w:val="000000"/>
          <w:kern w:val="0"/>
          <w:sz w:val="30"/>
          <w:szCs w:val="30"/>
        </w:rPr>
        <w:t>凡本年度理论知识和体能综合测试成绩未达标的且考核排名倒数后三名的各单位秩序维护主管及助理的管理人员将在物业公司进行为期一个月的理论知识和实际操作学习，学习后经考试仍未达标的，由所在分公司或项目领导班子上报处理意见，处理意见未能达到对于分公司或项目秩序维护工作带来全面改善的，物业总公司有权要求所在分公司或项目对该人员进行调岗或降级使用。</w:t>
      </w:r>
    </w:p>
    <w:p>
      <w:pPr>
        <w:widowControl/>
        <w:spacing w:line="360" w:lineRule="auto"/>
        <w:ind w:firstLine="2861" w:firstLineChars="950"/>
        <w:jc w:val="left"/>
        <w:rPr>
          <w:rFonts w:ascii="宋体" w:hAnsi="宋体" w:eastAsia="宋体" w:cs="宋体"/>
          <w:b/>
          <w:bCs/>
          <w:color w:val="000000"/>
          <w:kern w:val="0"/>
          <w:sz w:val="30"/>
          <w:szCs w:val="30"/>
        </w:rPr>
      </w:pPr>
      <w:r>
        <w:rPr>
          <w:rFonts w:hint="eastAsia" w:ascii="宋体" w:hAnsi="宋体" w:eastAsia="宋体" w:cs="宋体"/>
          <w:b/>
          <w:bCs/>
          <w:color w:val="000000"/>
          <w:kern w:val="0"/>
          <w:sz w:val="30"/>
          <w:szCs w:val="30"/>
        </w:rPr>
        <w:t>第五章 附则</w:t>
      </w:r>
    </w:p>
    <w:p>
      <w:pPr>
        <w:widowControl/>
        <w:spacing w:line="360" w:lineRule="auto"/>
        <w:ind w:firstLine="602" w:firstLineChars="200"/>
        <w:jc w:val="left"/>
        <w:rPr>
          <w:rFonts w:ascii="宋体" w:hAnsi="宋体" w:eastAsia="宋体" w:cs="宋体"/>
          <w:color w:val="000000"/>
          <w:kern w:val="0"/>
          <w:sz w:val="30"/>
          <w:szCs w:val="30"/>
        </w:rPr>
      </w:pPr>
      <w:r>
        <w:rPr>
          <w:rFonts w:hint="eastAsia" w:ascii="宋体" w:hAnsi="宋体" w:eastAsia="宋体" w:cs="宋体"/>
          <w:b/>
          <w:bCs/>
          <w:color w:val="000000"/>
          <w:kern w:val="0"/>
          <w:sz w:val="30"/>
          <w:szCs w:val="30"/>
        </w:rPr>
        <w:t xml:space="preserve">第九条 </w:t>
      </w:r>
      <w:r>
        <w:rPr>
          <w:rFonts w:hint="eastAsia" w:ascii="宋体" w:hAnsi="宋体" w:eastAsia="宋体" w:cs="宋体"/>
          <w:color w:val="000000"/>
          <w:kern w:val="0"/>
          <w:sz w:val="30"/>
          <w:szCs w:val="30"/>
        </w:rPr>
        <w:t>本办法由物业总公司秩序维护部制定并负责解释。</w:t>
      </w:r>
    </w:p>
    <w:p>
      <w:pPr>
        <w:widowControl/>
        <w:spacing w:line="360" w:lineRule="auto"/>
        <w:ind w:firstLine="602" w:firstLineChars="200"/>
        <w:jc w:val="left"/>
        <w:rPr>
          <w:rFonts w:ascii="宋体" w:hAnsi="宋体" w:eastAsia="宋体" w:cs="宋体"/>
          <w:color w:val="000000"/>
          <w:kern w:val="0"/>
          <w:sz w:val="30"/>
          <w:szCs w:val="30"/>
        </w:rPr>
      </w:pPr>
      <w:r>
        <w:rPr>
          <w:rFonts w:hint="eastAsia" w:ascii="宋体" w:hAnsi="宋体" w:eastAsia="宋体" w:cs="宋体"/>
          <w:b/>
          <w:bCs/>
          <w:color w:val="000000"/>
          <w:kern w:val="0"/>
          <w:sz w:val="30"/>
          <w:szCs w:val="30"/>
        </w:rPr>
        <w:t>第十条</w:t>
      </w:r>
      <w:r>
        <w:rPr>
          <w:rFonts w:hint="eastAsia" w:ascii="宋体" w:hAnsi="宋体" w:eastAsia="宋体" w:cs="宋体"/>
          <w:color w:val="000000"/>
          <w:kern w:val="0"/>
          <w:sz w:val="30"/>
          <w:szCs w:val="30"/>
        </w:rPr>
        <w:t xml:space="preserve"> 本办法自发布之日起施行。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BB490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123</dc:creator>
  <cp:lastModifiedBy>李崇辉</cp:lastModifiedBy>
  <dcterms:modified xsi:type="dcterms:W3CDTF">2017-03-15T01:16:36Z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